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F60D" w14:textId="453854A6" w:rsidR="0030799F" w:rsidRDefault="0030799F"/>
    <w:p w14:paraId="2BE8EB64" w14:textId="2093379D" w:rsidR="002120C7" w:rsidRPr="00D9661E" w:rsidRDefault="002120C7" w:rsidP="002120C7">
      <w:pPr>
        <w:rPr>
          <w:rFonts w:asciiTheme="majorHAnsi" w:hAnsiTheme="majorHAnsi" w:cstheme="majorHAnsi"/>
          <w:b/>
          <w:bCs/>
          <w:sz w:val="24"/>
        </w:rPr>
      </w:pPr>
      <w:r w:rsidRPr="00D9661E">
        <w:rPr>
          <w:rFonts w:asciiTheme="majorHAnsi" w:hAnsiTheme="majorHAnsi" w:cstheme="majorHAnsi"/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375B765D" wp14:editId="4AD89EA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43710" cy="701040"/>
            <wp:effectExtent l="0" t="0" r="8890" b="3810"/>
            <wp:wrapTight wrapText="bothSides">
              <wp:wrapPolygon edited="0">
                <wp:start x="0" y="0"/>
                <wp:lineTo x="0" y="21130"/>
                <wp:lineTo x="21474" y="21130"/>
                <wp:lineTo x="21474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4"/>
        </w:rPr>
        <w:t>M</w:t>
      </w:r>
      <w:r w:rsidRPr="00D9661E">
        <w:rPr>
          <w:rFonts w:asciiTheme="majorHAnsi" w:hAnsiTheme="majorHAnsi" w:cstheme="majorHAnsi"/>
          <w:b/>
          <w:bCs/>
          <w:sz w:val="24"/>
        </w:rPr>
        <w:t>eeting of the OLICAT Directors</w:t>
      </w:r>
    </w:p>
    <w:p w14:paraId="219B2FED" w14:textId="0DB5502D" w:rsidR="002120C7" w:rsidRPr="00D9661E" w:rsidRDefault="002120C7" w:rsidP="002120C7">
      <w:pPr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>20</w:t>
      </w:r>
      <w:r w:rsidRPr="002120C7">
        <w:rPr>
          <w:rFonts w:asciiTheme="majorHAnsi" w:hAnsiTheme="majorHAnsi" w:cstheme="majorHAnsi"/>
          <w:b/>
          <w:bCs/>
          <w:sz w:val="24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24"/>
        </w:rPr>
        <w:t xml:space="preserve"> </w:t>
      </w:r>
      <w:r w:rsidR="006F4C61">
        <w:rPr>
          <w:rFonts w:asciiTheme="majorHAnsi" w:hAnsiTheme="majorHAnsi" w:cstheme="majorHAnsi"/>
          <w:b/>
          <w:bCs/>
          <w:sz w:val="24"/>
        </w:rPr>
        <w:t>September</w:t>
      </w:r>
      <w:r w:rsidRPr="00D9661E">
        <w:rPr>
          <w:rFonts w:asciiTheme="majorHAnsi" w:hAnsiTheme="majorHAnsi" w:cstheme="majorHAnsi"/>
          <w:b/>
          <w:bCs/>
          <w:sz w:val="24"/>
        </w:rPr>
        <w:t xml:space="preserve"> 202</w:t>
      </w:r>
      <w:r>
        <w:rPr>
          <w:rFonts w:asciiTheme="majorHAnsi" w:hAnsiTheme="majorHAnsi" w:cstheme="majorHAnsi"/>
          <w:b/>
          <w:bCs/>
          <w:sz w:val="24"/>
        </w:rPr>
        <w:t>2</w:t>
      </w:r>
    </w:p>
    <w:p w14:paraId="598A4D58" w14:textId="3AF9A067" w:rsidR="002120C7" w:rsidRDefault="002120C7" w:rsidP="002120C7">
      <w:pPr>
        <w:rPr>
          <w:rFonts w:asciiTheme="majorHAnsi" w:hAnsiTheme="majorHAnsi" w:cstheme="majorHAnsi"/>
          <w:b/>
          <w:bCs/>
          <w:sz w:val="24"/>
        </w:rPr>
      </w:pPr>
    </w:p>
    <w:p w14:paraId="158B50D5" w14:textId="1CA8C4D0" w:rsidR="002120C7" w:rsidRDefault="002120C7" w:rsidP="002120C7">
      <w:pPr>
        <w:rPr>
          <w:rFonts w:asciiTheme="majorHAnsi" w:hAnsiTheme="majorHAnsi" w:cstheme="majorHAnsi"/>
          <w:b/>
          <w:bCs/>
          <w:sz w:val="24"/>
        </w:rPr>
      </w:pPr>
    </w:p>
    <w:p w14:paraId="58124BE2" w14:textId="443C51D8" w:rsidR="002120C7" w:rsidRDefault="001A5CAB" w:rsidP="002120C7">
      <w:pPr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>Minutes</w:t>
      </w:r>
      <w:r w:rsidR="00F30613">
        <w:rPr>
          <w:rFonts w:asciiTheme="majorHAnsi" w:hAnsiTheme="majorHAnsi" w:cstheme="majorHAnsi"/>
          <w:b/>
          <w:bCs/>
          <w:sz w:val="24"/>
        </w:rPr>
        <w:t xml:space="preserve"> </w:t>
      </w:r>
    </w:p>
    <w:p w14:paraId="1D14395A" w14:textId="6940C12B" w:rsidR="002120C7" w:rsidRDefault="00B43A45">
      <w:r>
        <w:t>Attendees: Christopher Donnellan, Catherine Leong, Lucia Debertol, Bill Nelson, Joe Burns, Jo Brake-Oakes, Tony Bishop, Sue Robinson</w:t>
      </w:r>
    </w:p>
    <w:p w14:paraId="297D3ECC" w14:textId="44DEEB6E" w:rsidR="002120C7" w:rsidRDefault="002120C7"/>
    <w:tbl>
      <w:tblPr>
        <w:tblW w:w="9924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7731"/>
      </w:tblGrid>
      <w:tr w:rsidR="00EB7545" w14:paraId="64D9AA1B" w14:textId="77777777" w:rsidTr="00EB7545"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EF2E" w14:textId="77777777" w:rsidR="00EB7545" w:rsidRDefault="00EB7545" w:rsidP="004527DB">
            <w:pPr>
              <w:spacing w:line="252" w:lineRule="auto"/>
              <w:ind w:left="360"/>
            </w:pPr>
            <w:r>
              <w:rPr>
                <w:rFonts w:ascii="Calibri Light" w:hAnsi="Calibri Light" w:cs="Calibri Light"/>
              </w:rPr>
              <w:t>Agenda item</w:t>
            </w:r>
          </w:p>
        </w:tc>
        <w:tc>
          <w:tcPr>
            <w:tcW w:w="7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78BB6" w14:textId="77777777" w:rsidR="00EB7545" w:rsidRDefault="00EB7545" w:rsidP="004527DB">
            <w:pPr>
              <w:spacing w:line="252" w:lineRule="auto"/>
            </w:pPr>
            <w:r>
              <w:rPr>
                <w:rFonts w:ascii="Calibri Light" w:hAnsi="Calibri Light" w:cs="Calibri Light"/>
              </w:rPr>
              <w:t>Key information</w:t>
            </w:r>
          </w:p>
        </w:tc>
      </w:tr>
      <w:tr w:rsidR="00EB7545" w14:paraId="4692F0F8" w14:textId="77777777" w:rsidTr="00EB7545"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2E98" w14:textId="77777777" w:rsidR="00EB7545" w:rsidRPr="00EB7545" w:rsidRDefault="00EB7545" w:rsidP="004527DB">
            <w:pPr>
              <w:numPr>
                <w:ilvl w:val="0"/>
                <w:numId w:val="1"/>
              </w:numPr>
              <w:spacing w:line="252" w:lineRule="auto"/>
              <w:rPr>
                <w:rFonts w:eastAsia="Times New Roman"/>
              </w:rPr>
            </w:pPr>
            <w:r>
              <w:rPr>
                <w:rFonts w:ascii="Calibri Light" w:eastAsia="Times New Roman" w:hAnsi="Calibri Light" w:cs="Calibri Light"/>
              </w:rPr>
              <w:t>Declaration of pecuniary interest/conflict of interest arising from agenda</w:t>
            </w:r>
          </w:p>
          <w:p w14:paraId="0D5FCB8B" w14:textId="4DD5E857" w:rsidR="00EB7545" w:rsidRDefault="00EB7545" w:rsidP="00EB7545">
            <w:pPr>
              <w:spacing w:line="252" w:lineRule="auto"/>
              <w:ind w:left="360"/>
              <w:rPr>
                <w:rFonts w:eastAsia="Times New Roman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930C" w14:textId="325AC7E8" w:rsidR="00EB7545" w:rsidRDefault="00B8418E" w:rsidP="004527DB">
            <w:pPr>
              <w:spacing w:line="252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Forms distributed for annual completion and returned.</w:t>
            </w:r>
            <w:r w:rsidR="00EB7545">
              <w:rPr>
                <w:rFonts w:ascii="Calibri Light" w:hAnsi="Calibri Light" w:cs="Calibri Light"/>
              </w:rPr>
              <w:t> </w:t>
            </w:r>
          </w:p>
          <w:p w14:paraId="2DBD08C0" w14:textId="77777777" w:rsidR="00EB7545" w:rsidRDefault="00EB7545" w:rsidP="004527DB">
            <w:pPr>
              <w:spacing w:line="252" w:lineRule="auto"/>
              <w:rPr>
                <w:rFonts w:ascii="Calibri Light" w:hAnsi="Calibri Light" w:cs="Calibri Light"/>
              </w:rPr>
            </w:pPr>
          </w:p>
          <w:p w14:paraId="15FBEB5E" w14:textId="77777777" w:rsidR="00EB7545" w:rsidRDefault="00EB7545" w:rsidP="004527DB">
            <w:pPr>
              <w:spacing w:line="252" w:lineRule="auto"/>
              <w:rPr>
                <w:rFonts w:ascii="Calibri Light" w:hAnsi="Calibri Light" w:cs="Calibri Light"/>
              </w:rPr>
            </w:pPr>
          </w:p>
          <w:p w14:paraId="04C653DB" w14:textId="77777777" w:rsidR="00EB7545" w:rsidRDefault="00EB7545" w:rsidP="004527DB">
            <w:pPr>
              <w:spacing w:line="252" w:lineRule="auto"/>
              <w:rPr>
                <w:rFonts w:ascii="Calibri Light" w:hAnsi="Calibri Light" w:cs="Calibri Light"/>
              </w:rPr>
            </w:pPr>
          </w:p>
          <w:p w14:paraId="1D4EDDD7" w14:textId="7C813B21" w:rsidR="00EB7545" w:rsidRDefault="00EB7545" w:rsidP="004527DB">
            <w:pPr>
              <w:spacing w:line="252" w:lineRule="auto"/>
            </w:pPr>
          </w:p>
        </w:tc>
      </w:tr>
      <w:tr w:rsidR="00EB7545" w14:paraId="0D850732" w14:textId="77777777" w:rsidTr="00EB7545"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1B75" w14:textId="6CEB40A7" w:rsidR="00EB7545" w:rsidRDefault="00EB7545" w:rsidP="00C0351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03518">
              <w:rPr>
                <w:rFonts w:ascii="Calibri Light" w:hAnsi="Calibri Light" w:cs="Calibri Light"/>
              </w:rPr>
              <w:t>Financial Risk – report and recommendations</w:t>
            </w:r>
          </w:p>
          <w:p w14:paraId="181C32CB" w14:textId="77777777" w:rsidR="00EB7545" w:rsidRPr="00C03518" w:rsidRDefault="00EB7545" w:rsidP="00EB7545">
            <w:pPr>
              <w:pStyle w:val="ListParagraph"/>
              <w:ind w:left="360"/>
              <w:rPr>
                <w:rFonts w:ascii="Calibri Light" w:hAnsi="Calibri Light" w:cs="Calibri Light"/>
              </w:rPr>
            </w:pPr>
          </w:p>
          <w:p w14:paraId="0E334206" w14:textId="1DFC1220" w:rsidR="00EB7545" w:rsidRDefault="00EB7545" w:rsidP="00C03518">
            <w:pPr>
              <w:spacing w:line="252" w:lineRule="auto"/>
              <w:ind w:left="720"/>
            </w:pPr>
          </w:p>
        </w:tc>
        <w:tc>
          <w:tcPr>
            <w:tcW w:w="7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912E" w14:textId="4F422542" w:rsidR="00EB7545" w:rsidRDefault="00226087" w:rsidP="004527DB">
            <w:pPr>
              <w:spacing w:line="252" w:lineRule="auto"/>
            </w:pPr>
            <w:r>
              <w:t>CD circulated the accountability m</w:t>
            </w:r>
            <w:r w:rsidR="00B8418E">
              <w:t>atrix as background information/context.</w:t>
            </w:r>
          </w:p>
          <w:p w14:paraId="578A194B" w14:textId="67F93FF0" w:rsidR="00B8418E" w:rsidRDefault="00B8418E" w:rsidP="004527DB">
            <w:pPr>
              <w:spacing w:line="252" w:lineRule="auto"/>
            </w:pPr>
          </w:p>
          <w:p w14:paraId="1F0E1067" w14:textId="77777777" w:rsidR="00EA73FB" w:rsidRDefault="00B8418E" w:rsidP="004527DB">
            <w:pPr>
              <w:spacing w:line="252" w:lineRule="auto"/>
            </w:pPr>
            <w:r>
              <w:t xml:space="preserve">SR </w:t>
            </w:r>
            <w:r w:rsidR="00EA73FB">
              <w:t>outlined the issues identified in the report:</w:t>
            </w:r>
          </w:p>
          <w:p w14:paraId="56288309" w14:textId="77777777" w:rsidR="00EA73FB" w:rsidRDefault="00EA73FB" w:rsidP="004527DB">
            <w:pPr>
              <w:spacing w:line="252" w:lineRule="auto"/>
            </w:pPr>
          </w:p>
          <w:p w14:paraId="30EB8903" w14:textId="77777777" w:rsidR="00EA73FB" w:rsidRDefault="00EA73FB" w:rsidP="00EA73FB">
            <w:pPr>
              <w:pStyle w:val="ListParagraph"/>
              <w:numPr>
                <w:ilvl w:val="0"/>
                <w:numId w:val="11"/>
              </w:numPr>
              <w:spacing w:line="252" w:lineRule="auto"/>
            </w:pPr>
            <w:r>
              <w:t xml:space="preserve">The </w:t>
            </w:r>
            <w:r w:rsidR="00B8418E">
              <w:t xml:space="preserve">pay award factored </w:t>
            </w:r>
            <w:r w:rsidR="0018111B">
              <w:t xml:space="preserve">in is the minimum proposed at the moment, and industrial action is likely. </w:t>
            </w:r>
            <w:r>
              <w:t>We d</w:t>
            </w:r>
            <w:r w:rsidR="0018111B">
              <w:t xml:space="preserve">o not anticipate the government will increase the offer. Budget shortfall on current staffing is </w:t>
            </w:r>
            <w:r>
              <w:t>estimated</w:t>
            </w:r>
            <w:r w:rsidR="0018111B">
              <w:t xml:space="preserve"> </w:t>
            </w:r>
            <w:r>
              <w:t>at</w:t>
            </w:r>
            <w:r w:rsidR="0018111B">
              <w:t xml:space="preserve"> 640k. </w:t>
            </w:r>
          </w:p>
          <w:p w14:paraId="6016D764" w14:textId="0F06CE63" w:rsidR="00B8418E" w:rsidRDefault="0018111B" w:rsidP="00EA73FB">
            <w:pPr>
              <w:pStyle w:val="ListParagraph"/>
              <w:numPr>
                <w:ilvl w:val="0"/>
                <w:numId w:val="11"/>
              </w:numPr>
              <w:spacing w:line="252" w:lineRule="auto"/>
            </w:pPr>
            <w:r>
              <w:t xml:space="preserve">48% of reserves will go in two years, and if another pay award in this region next year </w:t>
            </w:r>
            <w:r w:rsidR="00EA73FB">
              <w:t>the impact is compounded.</w:t>
            </w:r>
          </w:p>
          <w:p w14:paraId="1328630A" w14:textId="405F23D3" w:rsidR="00EA73FB" w:rsidRDefault="00AC103D" w:rsidP="00EA73FB">
            <w:pPr>
              <w:pStyle w:val="ListParagraph"/>
              <w:numPr>
                <w:ilvl w:val="0"/>
                <w:numId w:val="11"/>
              </w:numPr>
              <w:spacing w:line="252" w:lineRule="auto"/>
            </w:pPr>
            <w:r>
              <w:t>Price fixing has eased and deferred the fuel cost increase, but it will affect us.</w:t>
            </w:r>
          </w:p>
          <w:p w14:paraId="1CEE2C0C" w14:textId="6968B9B4" w:rsidR="00AC103D" w:rsidRDefault="00AC103D" w:rsidP="00EA73FB">
            <w:pPr>
              <w:pStyle w:val="ListParagraph"/>
              <w:numPr>
                <w:ilvl w:val="0"/>
                <w:numId w:val="11"/>
              </w:numPr>
              <w:spacing w:line="252" w:lineRule="auto"/>
            </w:pPr>
            <w:r>
              <w:t xml:space="preserve">A drop overall of 83 pupils effects revenue and </w:t>
            </w:r>
            <w:proofErr w:type="spellStart"/>
            <w:r>
              <w:t>topslice</w:t>
            </w:r>
            <w:proofErr w:type="spellEnd"/>
            <w:r>
              <w:t>.</w:t>
            </w:r>
          </w:p>
          <w:p w14:paraId="2E350B2E" w14:textId="43FAA354" w:rsidR="0018111B" w:rsidRDefault="0018111B" w:rsidP="004527DB">
            <w:pPr>
              <w:spacing w:line="252" w:lineRule="auto"/>
            </w:pPr>
          </w:p>
          <w:p w14:paraId="015896CD" w14:textId="07566A6B" w:rsidR="0018111B" w:rsidRDefault="0018111B" w:rsidP="004527DB">
            <w:pPr>
              <w:spacing w:line="252" w:lineRule="auto"/>
            </w:pPr>
            <w:r>
              <w:t>BN</w:t>
            </w:r>
            <w:r w:rsidR="00D51711">
              <w:t xml:space="preserve"> observed</w:t>
            </w:r>
            <w:r>
              <w:t xml:space="preserve"> from experience when faced with this have to go in with good comm</w:t>
            </w:r>
            <w:r w:rsidR="00D51711">
              <w:t>unication</w:t>
            </w:r>
            <w:r>
              <w:t>s and hard constraints and then ease off, rather than increasing levels of constraint.</w:t>
            </w:r>
          </w:p>
          <w:p w14:paraId="7D267FF6" w14:textId="4907F029" w:rsidR="00484F40" w:rsidRDefault="00484F40" w:rsidP="004527DB">
            <w:pPr>
              <w:spacing w:line="252" w:lineRule="auto"/>
            </w:pPr>
          </w:p>
          <w:p w14:paraId="50952F08" w14:textId="34AE5E17" w:rsidR="00484F40" w:rsidRDefault="00484F40" w:rsidP="004527DB">
            <w:pPr>
              <w:spacing w:line="252" w:lineRule="auto"/>
            </w:pPr>
            <w:r>
              <w:t xml:space="preserve">CD </w:t>
            </w:r>
            <w:r w:rsidR="00D51711">
              <w:t xml:space="preserve">noted </w:t>
            </w:r>
            <w:r>
              <w:t>we are fortunate to have reserves. We have to spend money to run a school</w:t>
            </w:r>
            <w:r w:rsidR="00C0319C">
              <w:t xml:space="preserve">. We cant get rid of staff. We can put a brake on recruitment, but there is a minimum required. Schools with smaller classes are inevitably going to have to increase. </w:t>
            </w:r>
          </w:p>
          <w:p w14:paraId="01FD6E29" w14:textId="7277C633" w:rsidR="00F3631B" w:rsidRDefault="00F3631B" w:rsidP="004527DB">
            <w:pPr>
              <w:spacing w:line="252" w:lineRule="auto"/>
            </w:pPr>
          </w:p>
          <w:p w14:paraId="77FB9248" w14:textId="4C9555CE" w:rsidR="00F3631B" w:rsidRDefault="00F3631B" w:rsidP="004527DB">
            <w:pPr>
              <w:spacing w:line="252" w:lineRule="auto"/>
            </w:pPr>
            <w:r>
              <w:t xml:space="preserve">TB </w:t>
            </w:r>
            <w:r w:rsidR="00D51711">
              <w:t xml:space="preserve">confirmed </w:t>
            </w:r>
            <w:r>
              <w:t xml:space="preserve">we are in a better position than many MATs. Its not what we want to spend reserves on and they will vanish quickly. </w:t>
            </w:r>
          </w:p>
          <w:p w14:paraId="4BB98B0D" w14:textId="28184C9D" w:rsidR="004738D7" w:rsidRDefault="004738D7" w:rsidP="004527DB">
            <w:pPr>
              <w:spacing w:line="252" w:lineRule="auto"/>
            </w:pPr>
          </w:p>
          <w:p w14:paraId="473FE32C" w14:textId="32B1D468" w:rsidR="004738D7" w:rsidRDefault="004738D7" w:rsidP="004527DB">
            <w:pPr>
              <w:spacing w:line="252" w:lineRule="auto"/>
            </w:pPr>
            <w:r>
              <w:t xml:space="preserve">LD </w:t>
            </w:r>
            <w:r w:rsidR="00350428">
              <w:t>queried</w:t>
            </w:r>
            <w:r>
              <w:t xml:space="preserve"> what happens if we run out of money? SR </w:t>
            </w:r>
            <w:r w:rsidR="00350428">
              <w:t xml:space="preserve">confirmed we go </w:t>
            </w:r>
            <w:r>
              <w:t xml:space="preserve">to </w:t>
            </w:r>
            <w:r w:rsidR="00350428">
              <w:t>the ESFA</w:t>
            </w:r>
            <w:r>
              <w:t>, they remove our financial authority, monitor strictly and authorisation for any payments is through them. It is a situation to avoid.</w:t>
            </w:r>
          </w:p>
          <w:p w14:paraId="6B2E756B" w14:textId="77777777" w:rsidR="00350428" w:rsidRDefault="00350428" w:rsidP="004527DB">
            <w:pPr>
              <w:spacing w:line="252" w:lineRule="auto"/>
            </w:pPr>
          </w:p>
          <w:p w14:paraId="6D893748" w14:textId="2325E1DD" w:rsidR="004738D7" w:rsidRDefault="008B3297" w:rsidP="004527DB">
            <w:pPr>
              <w:spacing w:line="252" w:lineRule="auto"/>
            </w:pPr>
            <w:r>
              <w:t xml:space="preserve">LD </w:t>
            </w:r>
            <w:r w:rsidR="00350428">
              <w:t>asked</w:t>
            </w:r>
            <w:r>
              <w:t xml:space="preserve"> in terms of risk assessment, how likely is it we get into this situation. SR </w:t>
            </w:r>
            <w:r w:rsidR="00350428">
              <w:t xml:space="preserve">confirmed </w:t>
            </w:r>
            <w:r>
              <w:t xml:space="preserve">next year is likely to be the major impact </w:t>
            </w:r>
            <w:r w:rsidR="00350428">
              <w:t>with</w:t>
            </w:r>
            <w:r>
              <w:t xml:space="preserve"> falling numbers, another pay award </w:t>
            </w:r>
            <w:r w:rsidR="00350428">
              <w:t>and</w:t>
            </w:r>
            <w:r>
              <w:t xml:space="preserve"> assuming no government intervention.</w:t>
            </w:r>
          </w:p>
          <w:p w14:paraId="3060A1AD" w14:textId="06273B26" w:rsidR="008B3297" w:rsidRDefault="008B3297" w:rsidP="004527DB">
            <w:pPr>
              <w:spacing w:line="252" w:lineRule="auto"/>
            </w:pPr>
          </w:p>
          <w:p w14:paraId="2A14D75B" w14:textId="40E1DFB6" w:rsidR="008B3297" w:rsidRDefault="008B3297" w:rsidP="004527DB">
            <w:pPr>
              <w:spacing w:line="252" w:lineRule="auto"/>
            </w:pPr>
            <w:r>
              <w:lastRenderedPageBreak/>
              <w:t xml:space="preserve">CD </w:t>
            </w:r>
            <w:r w:rsidR="00BD2ECB">
              <w:t xml:space="preserve">observed </w:t>
            </w:r>
            <w:r>
              <w:t>we won</w:t>
            </w:r>
            <w:r w:rsidR="00BD2ECB">
              <w:t>’</w:t>
            </w:r>
            <w:r>
              <w:t xml:space="preserve">t be critical this year, but other schools will be. TB </w:t>
            </w:r>
            <w:r w:rsidR="00BD2ECB">
              <w:t xml:space="preserve">noted without intervention </w:t>
            </w:r>
            <w:r>
              <w:t>some MATs will go under this year. Historically additional funding has been provided.</w:t>
            </w:r>
          </w:p>
          <w:p w14:paraId="53D3D0FE" w14:textId="00058F19" w:rsidR="008B3297" w:rsidRDefault="008B3297" w:rsidP="004527DB">
            <w:pPr>
              <w:spacing w:line="252" w:lineRule="auto"/>
            </w:pPr>
          </w:p>
          <w:p w14:paraId="6D694D7C" w14:textId="1A6F2447" w:rsidR="00775852" w:rsidRDefault="00775852" w:rsidP="004527DB">
            <w:pPr>
              <w:spacing w:line="252" w:lineRule="auto"/>
            </w:pPr>
            <w:r>
              <w:t xml:space="preserve">CD </w:t>
            </w:r>
            <w:r w:rsidR="00BD2ECB">
              <w:t>asked for</w:t>
            </w:r>
            <w:r>
              <w:t xml:space="preserve"> clarification on </w:t>
            </w:r>
            <w:r w:rsidR="00BD2ECB">
              <w:t xml:space="preserve">the overtime figure. </w:t>
            </w:r>
            <w:r>
              <w:t xml:space="preserve">SR </w:t>
            </w:r>
            <w:r w:rsidR="005D466B">
              <w:t xml:space="preserve">confirmed this is </w:t>
            </w:r>
            <w:r>
              <w:t>not teaching staff</w:t>
            </w:r>
            <w:r w:rsidR="005D466B">
              <w:t>, invigilators or lunchtime supervisors as these are budgeted for</w:t>
            </w:r>
            <w:r>
              <w:t xml:space="preserve">. JBO </w:t>
            </w:r>
            <w:r w:rsidR="005D466B">
              <w:t xml:space="preserve">confirmed </w:t>
            </w:r>
            <w:r>
              <w:t>in house payroll has provided greater insight.</w:t>
            </w:r>
            <w:r w:rsidR="00551D55">
              <w:t xml:space="preserve"> CD</w:t>
            </w:r>
            <w:r w:rsidR="005D466B">
              <w:t xml:space="preserve"> observed this is a</w:t>
            </w:r>
            <w:r w:rsidR="00551D55">
              <w:t xml:space="preserve"> significant cost</w:t>
            </w:r>
            <w:r w:rsidR="005D466B">
              <w:t xml:space="preserve"> and needs to be addressed</w:t>
            </w:r>
            <w:r w:rsidR="00551D55">
              <w:t>.</w:t>
            </w:r>
            <w:r w:rsidR="005D466B">
              <w:t xml:space="preserve"> </w:t>
            </w:r>
            <w:r w:rsidR="00551D55">
              <w:t xml:space="preserve">SR </w:t>
            </w:r>
            <w:r w:rsidR="005D466B">
              <w:t xml:space="preserve">observed </w:t>
            </w:r>
            <w:r w:rsidR="00551D55">
              <w:t xml:space="preserve">supply </w:t>
            </w:r>
            <w:r w:rsidR="005D466B">
              <w:t>also remains</w:t>
            </w:r>
            <w:r w:rsidR="00551D55">
              <w:t xml:space="preserve"> extremely high</w:t>
            </w:r>
            <w:r w:rsidR="005D466B">
              <w:t>.</w:t>
            </w:r>
            <w:r w:rsidR="00551D55">
              <w:t xml:space="preserve"> </w:t>
            </w:r>
          </w:p>
          <w:p w14:paraId="6447B9A5" w14:textId="2EA9D5F8" w:rsidR="00551D55" w:rsidRDefault="00551D55" w:rsidP="004527DB">
            <w:pPr>
              <w:spacing w:line="252" w:lineRule="auto"/>
            </w:pPr>
          </w:p>
          <w:p w14:paraId="44825B91" w14:textId="7AA301BB" w:rsidR="00551D55" w:rsidRDefault="00551D55" w:rsidP="004527DB">
            <w:pPr>
              <w:spacing w:line="252" w:lineRule="auto"/>
            </w:pPr>
            <w:r>
              <w:t xml:space="preserve">BN  </w:t>
            </w:r>
            <w:r w:rsidR="005D466B">
              <w:t xml:space="preserve">queried if all </w:t>
            </w:r>
            <w:r w:rsidR="00182AD1">
              <w:t>non</w:t>
            </w:r>
            <w:r w:rsidR="002B697B">
              <w:t>-</w:t>
            </w:r>
            <w:r w:rsidR="00182AD1">
              <w:t>essential costs are removed can we reach a fixed cost for the year? SR confirmed this is doable</w:t>
            </w:r>
            <w:r w:rsidR="000B7113">
              <w:t>.</w:t>
            </w:r>
          </w:p>
          <w:p w14:paraId="34C7A030" w14:textId="69593191" w:rsidR="00BD61C2" w:rsidRDefault="00BD61C2" w:rsidP="004527DB">
            <w:pPr>
              <w:spacing w:line="252" w:lineRule="auto"/>
            </w:pPr>
          </w:p>
          <w:p w14:paraId="1DCF899B" w14:textId="64325531" w:rsidR="00BD61C2" w:rsidRDefault="00BD61C2" w:rsidP="004527DB">
            <w:pPr>
              <w:spacing w:line="252" w:lineRule="auto"/>
            </w:pPr>
            <w:r>
              <w:t xml:space="preserve">LD </w:t>
            </w:r>
            <w:r w:rsidR="000B7113">
              <w:t xml:space="preserve">observed we should give </w:t>
            </w:r>
            <w:r>
              <w:t xml:space="preserve">consideration </w:t>
            </w:r>
            <w:r w:rsidR="000B7113">
              <w:t>to</w:t>
            </w:r>
            <w:r>
              <w:t xml:space="preserve"> central procurement</w:t>
            </w:r>
            <w:r w:rsidR="000B7113">
              <w:t xml:space="preserve"> for economies of scale and</w:t>
            </w:r>
            <w:r w:rsidR="00015125">
              <w:t xml:space="preserve"> quality control</w:t>
            </w:r>
            <w:r>
              <w:t xml:space="preserve">. </w:t>
            </w:r>
            <w:r w:rsidR="00015125">
              <w:t>SR noted there is no capacity within the finance team to move to this at this time.</w:t>
            </w:r>
          </w:p>
          <w:p w14:paraId="1A9DA5E5" w14:textId="2CF20674" w:rsidR="006254C1" w:rsidRDefault="006254C1" w:rsidP="004527DB">
            <w:pPr>
              <w:spacing w:line="252" w:lineRule="auto"/>
            </w:pPr>
          </w:p>
          <w:p w14:paraId="5BEE55D3" w14:textId="4AFD3ECB" w:rsidR="006254C1" w:rsidRDefault="00EB3CEC" w:rsidP="004527DB">
            <w:pPr>
              <w:spacing w:line="252" w:lineRule="auto"/>
            </w:pPr>
            <w:r>
              <w:t xml:space="preserve">TB </w:t>
            </w:r>
            <w:r w:rsidR="007272EA">
              <w:t xml:space="preserve">reported that </w:t>
            </w:r>
            <w:r>
              <w:t xml:space="preserve">heads </w:t>
            </w:r>
            <w:r w:rsidR="007272EA">
              <w:t xml:space="preserve">on the whole </w:t>
            </w:r>
            <w:r>
              <w:t xml:space="preserve">do understand </w:t>
            </w:r>
            <w:r w:rsidR="007272EA">
              <w:t>the financial challenge</w:t>
            </w:r>
            <w:r w:rsidR="00A70A34">
              <w:t>, but the pushback is they cannot deliver the</w:t>
            </w:r>
            <w:r>
              <w:t xml:space="preserve"> curriculum without the staff they want. </w:t>
            </w:r>
            <w:r w:rsidR="00A70A34">
              <w:t>A c</w:t>
            </w:r>
            <w:r>
              <w:t>ouple think we should go bust to show those on high it doesn’t work.</w:t>
            </w:r>
            <w:r w:rsidR="007272EA">
              <w:t xml:space="preserve"> </w:t>
            </w:r>
            <w:r w:rsidR="00A70A34">
              <w:t xml:space="preserve">We need to challenge established </w:t>
            </w:r>
            <w:r w:rsidR="00C703B5">
              <w:t xml:space="preserve">thinking – for example our sixth forms are 20 miles apart. Are there </w:t>
            </w:r>
            <w:r w:rsidR="007272EA">
              <w:t xml:space="preserve">solutions that allow shared resource curriculum. </w:t>
            </w:r>
          </w:p>
          <w:p w14:paraId="4FD6BE00" w14:textId="7C43ECA6" w:rsidR="002000A0" w:rsidRDefault="002000A0" w:rsidP="004527DB">
            <w:pPr>
              <w:spacing w:line="252" w:lineRule="auto"/>
            </w:pPr>
          </w:p>
          <w:p w14:paraId="109CFA31" w14:textId="3B1CA3B8" w:rsidR="006A0DCD" w:rsidRDefault="00C703B5" w:rsidP="00C703B5">
            <w:pPr>
              <w:spacing w:line="252" w:lineRule="auto"/>
            </w:pPr>
            <w:r>
              <w:t xml:space="preserve">LD asked if they persist in inefficient practice </w:t>
            </w:r>
            <w:r w:rsidR="002000A0">
              <w:t xml:space="preserve">what can we do to encourage/support/enforce? TB </w:t>
            </w:r>
            <w:r>
              <w:t xml:space="preserve">observed we </w:t>
            </w:r>
            <w:r w:rsidR="002000A0">
              <w:t xml:space="preserve">have used the SRMA exercise in 2 schools – STMS and OLWEL – </w:t>
            </w:r>
            <w:r>
              <w:t xml:space="preserve">and </w:t>
            </w:r>
            <w:r w:rsidR="002000A0">
              <w:t xml:space="preserve">now have definite figures </w:t>
            </w:r>
            <w:r>
              <w:t>to work from</w:t>
            </w:r>
            <w:r w:rsidR="002000A0">
              <w:t xml:space="preserve">, and funding to do </w:t>
            </w:r>
            <w:r>
              <w:t xml:space="preserve">this </w:t>
            </w:r>
            <w:r w:rsidR="002000A0">
              <w:t xml:space="preserve">with </w:t>
            </w:r>
            <w:r>
              <w:t xml:space="preserve">the </w:t>
            </w:r>
            <w:r w:rsidR="002000A0">
              <w:t xml:space="preserve">other 10. </w:t>
            </w:r>
          </w:p>
          <w:p w14:paraId="54C19BE4" w14:textId="77777777" w:rsidR="00C703B5" w:rsidRDefault="00C703B5" w:rsidP="00C703B5">
            <w:pPr>
              <w:spacing w:line="252" w:lineRule="auto"/>
            </w:pPr>
          </w:p>
          <w:p w14:paraId="643217AA" w14:textId="662B0C9C" w:rsidR="006A0DCD" w:rsidRDefault="00C703B5" w:rsidP="004527DB">
            <w:pPr>
              <w:spacing w:line="252" w:lineRule="auto"/>
            </w:pPr>
            <w:r>
              <w:t>Directors agreed:</w:t>
            </w:r>
          </w:p>
          <w:p w14:paraId="152F4A6C" w14:textId="1C8FA4E6" w:rsidR="0034487A" w:rsidRDefault="0034487A" w:rsidP="004527DB">
            <w:pPr>
              <w:spacing w:line="252" w:lineRule="auto"/>
            </w:pPr>
          </w:p>
          <w:p w14:paraId="4DB5D86E" w14:textId="4CC5F48F" w:rsidR="00C703B5" w:rsidRDefault="00C703B5" w:rsidP="004E795F">
            <w:pPr>
              <w:pStyle w:val="ListParagraph"/>
              <w:numPr>
                <w:ilvl w:val="0"/>
                <w:numId w:val="12"/>
              </w:numPr>
              <w:spacing w:line="252" w:lineRule="auto"/>
            </w:pPr>
            <w:r>
              <w:t>Finance Director to meet each head monthly</w:t>
            </w:r>
          </w:p>
          <w:p w14:paraId="6143E8DD" w14:textId="16AFB87E" w:rsidR="00902367" w:rsidRDefault="00902367" w:rsidP="004E795F">
            <w:pPr>
              <w:pStyle w:val="ListParagraph"/>
              <w:numPr>
                <w:ilvl w:val="0"/>
                <w:numId w:val="12"/>
              </w:numPr>
              <w:spacing w:line="252" w:lineRule="auto"/>
            </w:pPr>
            <w:r>
              <w:t>An increased focus on financial discipline</w:t>
            </w:r>
            <w:r w:rsidR="006E6F2B">
              <w:t xml:space="preserve"> </w:t>
            </w:r>
            <w:r w:rsidR="001057AC">
              <w:t>–</w:t>
            </w:r>
            <w:r w:rsidR="006E6F2B">
              <w:t xml:space="preserve"> </w:t>
            </w:r>
            <w:r w:rsidR="001057AC">
              <w:t>PO requirement, challenge on unnecessary spending, credit card limits</w:t>
            </w:r>
            <w:r w:rsidR="00ED7ED7">
              <w:t>, overtime frozen.</w:t>
            </w:r>
          </w:p>
          <w:p w14:paraId="6DB42993" w14:textId="523F7070" w:rsidR="001057AC" w:rsidRDefault="001057AC" w:rsidP="004E795F">
            <w:pPr>
              <w:pStyle w:val="ListParagraph"/>
              <w:numPr>
                <w:ilvl w:val="0"/>
                <w:numId w:val="12"/>
              </w:numPr>
              <w:spacing w:line="252" w:lineRule="auto"/>
            </w:pPr>
            <w:r>
              <w:t>No replacement posts</w:t>
            </w:r>
            <w:r w:rsidR="00ED7ED7">
              <w:t xml:space="preserve"> without a business case (including im</w:t>
            </w:r>
            <w:r w:rsidR="004E795F">
              <w:t>pacts and alternatives)</w:t>
            </w:r>
            <w:r w:rsidR="00ED7ED7">
              <w:t xml:space="preserve"> and approval</w:t>
            </w:r>
          </w:p>
          <w:p w14:paraId="087207A4" w14:textId="199BC817" w:rsidR="00F878A2" w:rsidRDefault="00F878A2" w:rsidP="004527DB">
            <w:pPr>
              <w:spacing w:line="252" w:lineRule="auto"/>
            </w:pPr>
          </w:p>
          <w:p w14:paraId="0857E5F6" w14:textId="34380695" w:rsidR="00F878A2" w:rsidRDefault="00F878A2" w:rsidP="004527DB">
            <w:pPr>
              <w:spacing w:line="252" w:lineRule="auto"/>
            </w:pPr>
            <w:r>
              <w:t xml:space="preserve">LD </w:t>
            </w:r>
            <w:r w:rsidR="004E795F">
              <w:t>stated we also need ownership and active management of budgets</w:t>
            </w:r>
            <w:r w:rsidR="00C53B96">
              <w:t xml:space="preserve"> that allows movement of money within those limits – if they want to spend money on x they can but y is then cut. </w:t>
            </w:r>
          </w:p>
          <w:p w14:paraId="312DBC1C" w14:textId="629DFB6B" w:rsidR="00672C3C" w:rsidRDefault="00672C3C" w:rsidP="004527DB">
            <w:pPr>
              <w:spacing w:line="252" w:lineRule="auto"/>
            </w:pPr>
          </w:p>
          <w:p w14:paraId="61C3306E" w14:textId="0B03F8EC" w:rsidR="00C53B96" w:rsidRDefault="00C53B96" w:rsidP="004527DB">
            <w:pPr>
              <w:spacing w:line="252" w:lineRule="auto"/>
            </w:pPr>
            <w:r>
              <w:t xml:space="preserve">Directors agreed </w:t>
            </w:r>
            <w:r w:rsidR="00F17106">
              <w:t>LACs need to be involved and engaged with the process. LAC Chairs/representatives to be invited to at least one FD/Head meeting per term</w:t>
            </w:r>
            <w:r w:rsidR="004C2759">
              <w:t>, and Finance to be addressed within the HT report/agenda.</w:t>
            </w:r>
          </w:p>
          <w:p w14:paraId="2182798B" w14:textId="77777777" w:rsidR="00A73452" w:rsidRPr="00A73452" w:rsidRDefault="00A73452" w:rsidP="004527DB">
            <w:pPr>
              <w:spacing w:line="252" w:lineRule="auto"/>
              <w:rPr>
                <w:rFonts w:ascii="Calibri Light" w:hAnsi="Calibri Light" w:cs="Calibri Light"/>
              </w:rPr>
            </w:pPr>
          </w:p>
          <w:p w14:paraId="2F6689F9" w14:textId="1CC64B02" w:rsidR="00EB7545" w:rsidRDefault="00EB7545" w:rsidP="004527DB">
            <w:pPr>
              <w:spacing w:line="252" w:lineRule="auto"/>
            </w:pPr>
          </w:p>
        </w:tc>
      </w:tr>
      <w:tr w:rsidR="00EB7545" w14:paraId="735FD7B9" w14:textId="77777777" w:rsidTr="00EB7545"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4880" w14:textId="0CD54D6C" w:rsidR="00EB7545" w:rsidRDefault="00EB7545" w:rsidP="00C0351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Industrial Action – considerations</w:t>
            </w:r>
          </w:p>
          <w:p w14:paraId="6E07DA22" w14:textId="77777777" w:rsidR="00EB7545" w:rsidRDefault="00EB7545" w:rsidP="00EB7545">
            <w:pPr>
              <w:pStyle w:val="ListParagraph"/>
              <w:ind w:left="360"/>
              <w:rPr>
                <w:rFonts w:eastAsia="Times New Roman"/>
              </w:rPr>
            </w:pPr>
          </w:p>
          <w:p w14:paraId="4371AFAD" w14:textId="360A4672" w:rsidR="00EB7545" w:rsidRDefault="00EB7545" w:rsidP="00C03518">
            <w:pPr>
              <w:spacing w:line="252" w:lineRule="auto"/>
              <w:ind w:left="360"/>
              <w:rPr>
                <w:rFonts w:ascii="Calibri Light" w:hAnsi="Calibri Light" w:cs="Calibri Light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EF3A" w14:textId="1430049B" w:rsidR="00EB7545" w:rsidRDefault="00A454C3" w:rsidP="00A454C3">
            <w:pPr>
              <w:spacing w:line="252" w:lineRule="auto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Ballots close Oct/Nov. Probability is</w:t>
            </w:r>
            <w:r w:rsidR="004C2759">
              <w:rPr>
                <w:rFonts w:ascii="Calibri Light" w:eastAsia="Times New Roman" w:hAnsi="Calibri Light" w:cs="Calibri Light"/>
              </w:rPr>
              <w:t xml:space="preserve"> industrial action is</w:t>
            </w:r>
            <w:r>
              <w:rPr>
                <w:rFonts w:ascii="Calibri Light" w:eastAsia="Times New Roman" w:hAnsi="Calibri Light" w:cs="Calibri Light"/>
              </w:rPr>
              <w:t xml:space="preserve"> likely</w:t>
            </w:r>
            <w:r w:rsidR="004C2759">
              <w:rPr>
                <w:rFonts w:ascii="Calibri Light" w:eastAsia="Times New Roman" w:hAnsi="Calibri Light" w:cs="Calibri Light"/>
              </w:rPr>
              <w:t xml:space="preserve"> but we will look at and brief closer to time.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</w:p>
          <w:p w14:paraId="7B6D679F" w14:textId="74950F5A" w:rsidR="00EB7545" w:rsidRDefault="00EB7545" w:rsidP="00C03518">
            <w:pPr>
              <w:spacing w:line="252" w:lineRule="auto"/>
              <w:ind w:left="360"/>
              <w:rPr>
                <w:rFonts w:ascii="Calibri Light" w:eastAsia="Times New Roman" w:hAnsi="Calibri Light" w:cs="Calibri Light"/>
              </w:rPr>
            </w:pPr>
          </w:p>
        </w:tc>
      </w:tr>
      <w:tr w:rsidR="007C7B90" w14:paraId="5C5E6033" w14:textId="77777777" w:rsidTr="00EB7545"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CD59" w14:textId="15BCA884" w:rsidR="007C7B90" w:rsidRDefault="00EE2757" w:rsidP="00C0351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  <w:r w:rsidR="007C7B90">
              <w:rPr>
                <w:rFonts w:eastAsia="Times New Roman"/>
              </w:rPr>
              <w:t>inancial issue</w:t>
            </w:r>
            <w:r>
              <w:rPr>
                <w:rFonts w:eastAsia="Times New Roman"/>
              </w:rPr>
              <w:t xml:space="preserve"> - confidential</w:t>
            </w:r>
          </w:p>
          <w:p w14:paraId="601BA039" w14:textId="0911FD58" w:rsidR="00A454C3" w:rsidRDefault="00A454C3" w:rsidP="00A454C3">
            <w:pPr>
              <w:pStyle w:val="ListParagraph"/>
              <w:ind w:left="360"/>
              <w:rPr>
                <w:rFonts w:eastAsia="Times New Roman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E232" w14:textId="77777777" w:rsidR="002B697B" w:rsidRPr="00E6324D" w:rsidRDefault="002B697B" w:rsidP="00E6324D">
            <w:pPr>
              <w:spacing w:line="252" w:lineRule="auto"/>
              <w:rPr>
                <w:rFonts w:ascii="Calibri Light" w:eastAsia="Times New Roman" w:hAnsi="Calibri Light" w:cs="Calibri Light"/>
              </w:rPr>
            </w:pPr>
          </w:p>
          <w:p w14:paraId="1EDE9748" w14:textId="4C90B490" w:rsidR="00E652E2" w:rsidRDefault="00E652E2" w:rsidP="002B697B">
            <w:pPr>
              <w:spacing w:line="252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EB7545" w14:paraId="36EB7D6D" w14:textId="77777777" w:rsidTr="00EB7545"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19AA7" w14:textId="77777777" w:rsidR="00EB7545" w:rsidRDefault="00EB7545" w:rsidP="00C03518">
            <w:pPr>
              <w:numPr>
                <w:ilvl w:val="0"/>
                <w:numId w:val="2"/>
              </w:numPr>
              <w:spacing w:line="252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AOB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BD30" w14:textId="0319E3D4" w:rsidR="00EB7545" w:rsidRDefault="002B697B" w:rsidP="002B697B">
            <w:pPr>
              <w:spacing w:line="252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None raised.</w:t>
            </w:r>
          </w:p>
          <w:p w14:paraId="5A96E6BD" w14:textId="28383D8B" w:rsidR="00EB7545" w:rsidRDefault="00EB7545" w:rsidP="004527DB">
            <w:pPr>
              <w:spacing w:line="252" w:lineRule="auto"/>
              <w:ind w:left="360"/>
              <w:rPr>
                <w:rFonts w:ascii="Calibri Light" w:hAnsi="Calibri Light" w:cs="Calibri Light"/>
              </w:rPr>
            </w:pPr>
          </w:p>
        </w:tc>
      </w:tr>
    </w:tbl>
    <w:p w14:paraId="36FAB434" w14:textId="709694D7" w:rsidR="002120C7" w:rsidRDefault="002120C7"/>
    <w:p w14:paraId="5BD8F3D7" w14:textId="77777777" w:rsidR="00936578" w:rsidRDefault="00936578" w:rsidP="00837453"/>
    <w:sectPr w:rsidR="00936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7A7"/>
    <w:multiLevelType w:val="hybridMultilevel"/>
    <w:tmpl w:val="9320C316"/>
    <w:lvl w:ilvl="0" w:tplc="E1B2FE9E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44519"/>
    <w:multiLevelType w:val="hybridMultilevel"/>
    <w:tmpl w:val="ECD657D2"/>
    <w:lvl w:ilvl="0" w:tplc="9398AFE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67B0"/>
    <w:multiLevelType w:val="hybridMultilevel"/>
    <w:tmpl w:val="F1E8E106"/>
    <w:lvl w:ilvl="0" w:tplc="4D563C84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46CAB"/>
    <w:multiLevelType w:val="hybridMultilevel"/>
    <w:tmpl w:val="EF2E68E4"/>
    <w:lvl w:ilvl="0" w:tplc="0FD23822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E154C"/>
    <w:multiLevelType w:val="hybridMultilevel"/>
    <w:tmpl w:val="55A8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E548E"/>
    <w:multiLevelType w:val="multilevel"/>
    <w:tmpl w:val="4B6A6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970"/>
        </w:tabs>
        <w:ind w:left="-970" w:hanging="360"/>
      </w:pPr>
    </w:lvl>
    <w:lvl w:ilvl="2">
      <w:start w:val="1"/>
      <w:numFmt w:val="decimal"/>
      <w:lvlText w:val="%3."/>
      <w:lvlJc w:val="left"/>
      <w:pPr>
        <w:tabs>
          <w:tab w:val="num" w:pos="-250"/>
        </w:tabs>
        <w:ind w:left="-250" w:hanging="360"/>
      </w:pPr>
    </w:lvl>
    <w:lvl w:ilvl="3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>
      <w:start w:val="1"/>
      <w:numFmt w:val="decimal"/>
      <w:lvlText w:val="%5."/>
      <w:lvlJc w:val="left"/>
      <w:pPr>
        <w:tabs>
          <w:tab w:val="num" w:pos="1190"/>
        </w:tabs>
        <w:ind w:left="1190" w:hanging="360"/>
      </w:pPr>
    </w:lvl>
    <w:lvl w:ilvl="5">
      <w:start w:val="1"/>
      <w:numFmt w:val="decimal"/>
      <w:lvlText w:val="%6."/>
      <w:lvlJc w:val="left"/>
      <w:pPr>
        <w:tabs>
          <w:tab w:val="num" w:pos="1910"/>
        </w:tabs>
        <w:ind w:left="1910" w:hanging="360"/>
      </w:pPr>
    </w:lvl>
    <w:lvl w:ilvl="6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>
      <w:start w:val="1"/>
      <w:numFmt w:val="decimal"/>
      <w:lvlText w:val="%8."/>
      <w:lvlJc w:val="left"/>
      <w:pPr>
        <w:tabs>
          <w:tab w:val="num" w:pos="3350"/>
        </w:tabs>
        <w:ind w:left="3350" w:hanging="360"/>
      </w:pPr>
    </w:lvl>
    <w:lvl w:ilvl="8">
      <w:start w:val="1"/>
      <w:numFmt w:val="decimal"/>
      <w:lvlText w:val="%9."/>
      <w:lvlJc w:val="left"/>
      <w:pPr>
        <w:tabs>
          <w:tab w:val="num" w:pos="4070"/>
        </w:tabs>
        <w:ind w:left="4070" w:hanging="360"/>
      </w:pPr>
    </w:lvl>
  </w:abstractNum>
  <w:abstractNum w:abstractNumId="6" w15:restartNumberingAfterBreak="0">
    <w:nsid w:val="4E3A4FFE"/>
    <w:multiLevelType w:val="hybridMultilevel"/>
    <w:tmpl w:val="0818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1679E"/>
    <w:multiLevelType w:val="multilevel"/>
    <w:tmpl w:val="A5AEB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1525BD1"/>
    <w:multiLevelType w:val="hybridMultilevel"/>
    <w:tmpl w:val="BD028882"/>
    <w:lvl w:ilvl="0" w:tplc="82DA652C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03D92"/>
    <w:multiLevelType w:val="hybridMultilevel"/>
    <w:tmpl w:val="B38A4B38"/>
    <w:lvl w:ilvl="0" w:tplc="4A587DE4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716D4"/>
    <w:multiLevelType w:val="hybridMultilevel"/>
    <w:tmpl w:val="F540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926B8"/>
    <w:multiLevelType w:val="hybridMultilevel"/>
    <w:tmpl w:val="5E5ED1E0"/>
    <w:lvl w:ilvl="0" w:tplc="83A4A0B2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889582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97927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7609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75172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57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7486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4866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78464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0207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8722899">
    <w:abstractNumId w:val="0"/>
  </w:num>
  <w:num w:numId="11" w16cid:durableId="1105006069">
    <w:abstractNumId w:val="4"/>
  </w:num>
  <w:num w:numId="12" w16cid:durableId="308365502">
    <w:abstractNumId w:val="10"/>
  </w:num>
  <w:num w:numId="13" w16cid:durableId="594896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6E"/>
    <w:rsid w:val="00015125"/>
    <w:rsid w:val="00083C9C"/>
    <w:rsid w:val="000B7113"/>
    <w:rsid w:val="001057AC"/>
    <w:rsid w:val="0011439C"/>
    <w:rsid w:val="0018111B"/>
    <w:rsid w:val="00182AD1"/>
    <w:rsid w:val="00184EFD"/>
    <w:rsid w:val="001A5CAB"/>
    <w:rsid w:val="001F0E19"/>
    <w:rsid w:val="002000A0"/>
    <w:rsid w:val="002120C7"/>
    <w:rsid w:val="00226087"/>
    <w:rsid w:val="00230E43"/>
    <w:rsid w:val="002B697B"/>
    <w:rsid w:val="002C55D1"/>
    <w:rsid w:val="002D325A"/>
    <w:rsid w:val="002F2F62"/>
    <w:rsid w:val="0030799F"/>
    <w:rsid w:val="0034487A"/>
    <w:rsid w:val="00350428"/>
    <w:rsid w:val="003A309B"/>
    <w:rsid w:val="0044430B"/>
    <w:rsid w:val="004504F0"/>
    <w:rsid w:val="00463883"/>
    <w:rsid w:val="00467DEA"/>
    <w:rsid w:val="004738D7"/>
    <w:rsid w:val="00484F40"/>
    <w:rsid w:val="004958B6"/>
    <w:rsid w:val="004C2759"/>
    <w:rsid w:val="004E795F"/>
    <w:rsid w:val="005140A4"/>
    <w:rsid w:val="00547718"/>
    <w:rsid w:val="00551D55"/>
    <w:rsid w:val="005A1A09"/>
    <w:rsid w:val="005B2F0B"/>
    <w:rsid w:val="005D466B"/>
    <w:rsid w:val="006254C1"/>
    <w:rsid w:val="00672C3C"/>
    <w:rsid w:val="006815BC"/>
    <w:rsid w:val="006A0DCD"/>
    <w:rsid w:val="006E5050"/>
    <w:rsid w:val="006E6F2B"/>
    <w:rsid w:val="006F4C61"/>
    <w:rsid w:val="007272EA"/>
    <w:rsid w:val="00775852"/>
    <w:rsid w:val="007C7B90"/>
    <w:rsid w:val="007E7A3F"/>
    <w:rsid w:val="00837453"/>
    <w:rsid w:val="00853F4B"/>
    <w:rsid w:val="0086108C"/>
    <w:rsid w:val="008B3297"/>
    <w:rsid w:val="008E019A"/>
    <w:rsid w:val="009020D7"/>
    <w:rsid w:val="00902367"/>
    <w:rsid w:val="00910D9F"/>
    <w:rsid w:val="00925FFF"/>
    <w:rsid w:val="00936578"/>
    <w:rsid w:val="00947A64"/>
    <w:rsid w:val="009A2E67"/>
    <w:rsid w:val="00A36725"/>
    <w:rsid w:val="00A454C3"/>
    <w:rsid w:val="00A70A34"/>
    <w:rsid w:val="00A73452"/>
    <w:rsid w:val="00A80534"/>
    <w:rsid w:val="00AA027F"/>
    <w:rsid w:val="00AA31DE"/>
    <w:rsid w:val="00AC103D"/>
    <w:rsid w:val="00AD66EF"/>
    <w:rsid w:val="00AE539E"/>
    <w:rsid w:val="00AF7DF8"/>
    <w:rsid w:val="00B348CD"/>
    <w:rsid w:val="00B43A45"/>
    <w:rsid w:val="00B83A2A"/>
    <w:rsid w:val="00B8418E"/>
    <w:rsid w:val="00BD2ECB"/>
    <w:rsid w:val="00BD61C2"/>
    <w:rsid w:val="00C0319C"/>
    <w:rsid w:val="00C03518"/>
    <w:rsid w:val="00C53B96"/>
    <w:rsid w:val="00C703B5"/>
    <w:rsid w:val="00CF0821"/>
    <w:rsid w:val="00D04A82"/>
    <w:rsid w:val="00D51711"/>
    <w:rsid w:val="00E01624"/>
    <w:rsid w:val="00E03ABB"/>
    <w:rsid w:val="00E419D5"/>
    <w:rsid w:val="00E6324D"/>
    <w:rsid w:val="00E652E2"/>
    <w:rsid w:val="00EA73FB"/>
    <w:rsid w:val="00EB28C8"/>
    <w:rsid w:val="00EB3CEC"/>
    <w:rsid w:val="00EB7545"/>
    <w:rsid w:val="00ED7ED7"/>
    <w:rsid w:val="00EE2757"/>
    <w:rsid w:val="00F17106"/>
    <w:rsid w:val="00F30613"/>
    <w:rsid w:val="00F3631B"/>
    <w:rsid w:val="00F62C90"/>
    <w:rsid w:val="00F878A2"/>
    <w:rsid w:val="00F9186E"/>
    <w:rsid w:val="00FB7310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C82B"/>
  <w15:chartTrackingRefBased/>
  <w15:docId w15:val="{F8E3C245-3C83-4B9B-BDC7-9A335313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8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5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Waterhouse [OLICAT]</dc:creator>
  <cp:keywords/>
  <dc:description/>
  <cp:lastModifiedBy>Andrew Waterhouse [CENTRAL]</cp:lastModifiedBy>
  <cp:revision>2</cp:revision>
  <dcterms:created xsi:type="dcterms:W3CDTF">2022-10-04T13:37:00Z</dcterms:created>
  <dcterms:modified xsi:type="dcterms:W3CDTF">2022-10-04T13:37:00Z</dcterms:modified>
</cp:coreProperties>
</file>